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353" w:tblpY="-44"/>
        <w:tblOverlap w:val="never"/>
        <w:tblW w:w="1121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0"/>
        <w:gridCol w:w="7779"/>
        <w:gridCol w:w="20"/>
      </w:tblGrid>
      <w:tr w:rsidR="00885B03" w:rsidTr="00885B03">
        <w:trPr>
          <w:trHeight w:val="2685"/>
          <w:tblCellSpacing w:w="0" w:type="dxa"/>
        </w:trPr>
        <w:tc>
          <w:tcPr>
            <w:tcW w:w="3420" w:type="dxa"/>
            <w:shd w:val="clear" w:color="auto" w:fill="72392E"/>
            <w:vAlign w:val="center"/>
          </w:tcPr>
          <w:p w:rsidR="00885B03" w:rsidRDefault="00885B03" w:rsidP="00885B03">
            <w:pPr>
              <w:ind w:left="-360" w:firstLine="360"/>
            </w:pPr>
            <w:r>
              <w:rPr>
                <w:noProof/>
              </w:rPr>
              <w:drawing>
                <wp:inline distT="0" distB="0" distL="0" distR="0">
                  <wp:extent cx="2171700" cy="1695450"/>
                  <wp:effectExtent l="19050" t="0" r="0" b="0"/>
                  <wp:docPr id="1" name="Рисунок 1" descr="GD (5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D (5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9" w:type="dxa"/>
            <w:shd w:val="clear" w:color="auto" w:fill="72392E"/>
            <w:vAlign w:val="center"/>
          </w:tcPr>
          <w:tbl>
            <w:tblPr>
              <w:tblW w:w="1116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7920"/>
              <w:gridCol w:w="3240"/>
            </w:tblGrid>
            <w:tr w:rsidR="00885B03" w:rsidTr="00694713">
              <w:trPr>
                <w:tblCellSpacing w:w="15" w:type="dxa"/>
              </w:trPr>
              <w:tc>
                <w:tcPr>
                  <w:tcW w:w="7875" w:type="dxa"/>
                  <w:vAlign w:val="center"/>
                </w:tcPr>
                <w:p w:rsidR="00885B03" w:rsidRDefault="00885B03" w:rsidP="00885B03">
                  <w:pPr>
                    <w:framePr w:hSpace="180" w:wrap="around" w:vAnchor="text" w:hAnchor="margin" w:x="-1353" w:y="-44"/>
                    <w:ind w:left="-360" w:firstLine="360"/>
                    <w:suppressOverlap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62200" cy="1657350"/>
                        <wp:effectExtent l="19050" t="0" r="0" b="0"/>
                        <wp:docPr id="2" name="Рисунок 2" descr="Конференц-за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Конференц-за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552700" cy="1657350"/>
                        <wp:effectExtent l="19050" t="0" r="0" b="0"/>
                        <wp:docPr id="3" name="Рисунок 3" descr="Business twin Del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siness twin Del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2700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</w:tcPr>
                <w:p w:rsidR="00885B03" w:rsidRDefault="00885B03" w:rsidP="00885B03">
                  <w:pPr>
                    <w:framePr w:hSpace="180" w:wrap="around" w:vAnchor="text" w:hAnchor="margin" w:x="-1353" w:y="-44"/>
                    <w:ind w:left="-360" w:firstLine="360"/>
                    <w:suppressOverlap/>
                  </w:pPr>
                </w:p>
              </w:tc>
            </w:tr>
          </w:tbl>
          <w:p w:rsidR="00885B03" w:rsidRDefault="00885B03" w:rsidP="00885B03">
            <w:pPr>
              <w:ind w:left="-360" w:firstLine="360"/>
            </w:pPr>
          </w:p>
        </w:tc>
        <w:tc>
          <w:tcPr>
            <w:tcW w:w="20" w:type="dxa"/>
            <w:shd w:val="clear" w:color="auto" w:fill="F4F2E7"/>
            <w:vAlign w:val="center"/>
          </w:tcPr>
          <w:p w:rsidR="00885B03" w:rsidRDefault="00885B03" w:rsidP="00885B03">
            <w:pPr>
              <w:ind w:left="-360" w:firstLine="360"/>
            </w:pPr>
            <w:r>
              <w:rPr>
                <w:noProof/>
              </w:rPr>
              <w:drawing>
                <wp:inline distT="0" distB="0" distL="0" distR="0">
                  <wp:extent cx="9525" cy="628650"/>
                  <wp:effectExtent l="19050" t="0" r="9525" b="0"/>
                  <wp:docPr id="4" name="Рисунок 4" descr="http://www.starwooderesponsetool.com/sites/default/files/assets/sheraton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tarwooderesponsetool.com/sites/default/files/assets/sheraton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483F" w:rsidRDefault="0094483F">
      <w:pPr>
        <w:rPr>
          <w:lang w:val="en-US"/>
        </w:rPr>
      </w:pPr>
    </w:p>
    <w:p w:rsidR="00885B03" w:rsidRPr="00FF45BE" w:rsidRDefault="00FF45BE" w:rsidP="00885B03">
      <w:pPr>
        <w:jc w:val="center"/>
        <w:rPr>
          <w:b/>
          <w:sz w:val="36"/>
          <w:szCs w:val="36"/>
          <w:lang w:val="en-US"/>
        </w:rPr>
      </w:pPr>
      <w:r w:rsidRPr="00FF45BE">
        <w:rPr>
          <w:b/>
          <w:sz w:val="36"/>
          <w:szCs w:val="36"/>
          <w:lang w:val="en-US"/>
        </w:rPr>
        <w:t>The Izmailovo hotel</w:t>
      </w:r>
    </w:p>
    <w:p w:rsidR="00885B03" w:rsidRDefault="00885B03">
      <w:pPr>
        <w:rPr>
          <w:lang w:val="en-US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A2515" w:rsidTr="00694713">
        <w:tc>
          <w:tcPr>
            <w:tcW w:w="2392" w:type="dxa"/>
            <w:vMerge w:val="restart"/>
          </w:tcPr>
          <w:p w:rsidR="007A2515" w:rsidRPr="00FF45BE" w:rsidRDefault="007A2515" w:rsidP="00E5018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F45BE">
              <w:rPr>
                <w:b/>
                <w:sz w:val="28"/>
                <w:szCs w:val="28"/>
                <w:lang w:val="en-US"/>
              </w:rPr>
              <w:t>Room type</w:t>
            </w:r>
          </w:p>
        </w:tc>
        <w:tc>
          <w:tcPr>
            <w:tcW w:w="7179" w:type="dxa"/>
            <w:gridSpan w:val="3"/>
          </w:tcPr>
          <w:p w:rsidR="007A2515" w:rsidRPr="00FF45BE" w:rsidRDefault="007A2515" w:rsidP="00E5018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F45BE">
              <w:rPr>
                <w:b/>
                <w:sz w:val="28"/>
                <w:szCs w:val="28"/>
                <w:lang w:val="en-US"/>
              </w:rPr>
              <w:t>Prices (in rubles)</w:t>
            </w:r>
          </w:p>
        </w:tc>
      </w:tr>
      <w:tr w:rsidR="007A2515" w:rsidTr="00885B03">
        <w:tc>
          <w:tcPr>
            <w:tcW w:w="2392" w:type="dxa"/>
            <w:vMerge/>
          </w:tcPr>
          <w:p w:rsidR="007A2515" w:rsidRPr="00FF45BE" w:rsidRDefault="007A2515" w:rsidP="00E5018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93" w:type="dxa"/>
          </w:tcPr>
          <w:p w:rsidR="007A2515" w:rsidRPr="00BF31C8" w:rsidRDefault="00BF31C8" w:rsidP="00E5018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Monday</w:t>
            </w:r>
          </w:p>
        </w:tc>
        <w:tc>
          <w:tcPr>
            <w:tcW w:w="2393" w:type="dxa"/>
          </w:tcPr>
          <w:p w:rsidR="007A2515" w:rsidRPr="00FF45BE" w:rsidRDefault="00BF31C8" w:rsidP="00E5018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Tuesday, </w:t>
            </w:r>
            <w:r w:rsidRPr="00BF31C8">
              <w:rPr>
                <w:b/>
              </w:rPr>
              <w:t>Wednesday</w:t>
            </w:r>
            <w:r>
              <w:rPr>
                <w:b/>
                <w:lang w:val="en-US"/>
              </w:rPr>
              <w:t xml:space="preserve">, </w:t>
            </w:r>
            <w:r w:rsidRPr="00BF31C8">
              <w:rPr>
                <w:b/>
              </w:rPr>
              <w:t>Thursday</w:t>
            </w:r>
          </w:p>
        </w:tc>
        <w:tc>
          <w:tcPr>
            <w:tcW w:w="2393" w:type="dxa"/>
          </w:tcPr>
          <w:p w:rsidR="007A2515" w:rsidRPr="00FF45BE" w:rsidRDefault="007A2515" w:rsidP="00BF31C8">
            <w:pPr>
              <w:jc w:val="center"/>
              <w:rPr>
                <w:b/>
                <w:lang w:val="en-US"/>
              </w:rPr>
            </w:pPr>
            <w:r w:rsidRPr="00FF45BE">
              <w:rPr>
                <w:b/>
                <w:lang w:val="en-US"/>
              </w:rPr>
              <w:t>F</w:t>
            </w:r>
            <w:r w:rsidR="00BF31C8">
              <w:rPr>
                <w:b/>
                <w:lang w:val="en-US"/>
              </w:rPr>
              <w:t>riday, Saturday, Sunday</w:t>
            </w:r>
          </w:p>
        </w:tc>
      </w:tr>
      <w:tr w:rsidR="00E50189" w:rsidRPr="00BF31C8" w:rsidTr="00FF45BE">
        <w:tc>
          <w:tcPr>
            <w:tcW w:w="2392" w:type="dxa"/>
            <w:vMerge w:val="restart"/>
          </w:tcPr>
          <w:p w:rsidR="00E50189" w:rsidRPr="00FF45BE" w:rsidRDefault="00E50189" w:rsidP="00FF45BE">
            <w:pPr>
              <w:jc w:val="center"/>
              <w:rPr>
                <w:b/>
                <w:lang w:val="en-US"/>
              </w:rPr>
            </w:pPr>
            <w:r w:rsidRPr="00FF45BE">
              <w:rPr>
                <w:b/>
                <w:lang w:val="en-US"/>
              </w:rPr>
              <w:t>Single room and double room</w:t>
            </w:r>
          </w:p>
        </w:tc>
        <w:tc>
          <w:tcPr>
            <w:tcW w:w="7179" w:type="dxa"/>
            <w:gridSpan w:val="3"/>
            <w:shd w:val="clear" w:color="auto" w:fill="FABF8F" w:themeFill="accent6" w:themeFillTint="99"/>
          </w:tcPr>
          <w:p w:rsidR="00E50189" w:rsidRPr="00E50189" w:rsidRDefault="00E50189" w:rsidP="00E50189">
            <w:pPr>
              <w:tabs>
                <w:tab w:val="left" w:pos="2760"/>
              </w:tabs>
              <w:jc w:val="center"/>
              <w:rPr>
                <w:b/>
                <w:i/>
                <w:lang w:val="en-US"/>
              </w:rPr>
            </w:pPr>
            <w:r w:rsidRPr="00F165BE">
              <w:rPr>
                <w:b/>
                <w:i/>
                <w:lang w:val="en-US"/>
              </w:rPr>
              <w:t>The Izmailovo Gamma Hotel</w:t>
            </w:r>
          </w:p>
          <w:p w:rsidR="00E50189" w:rsidRPr="00E50189" w:rsidRDefault="00E50189" w:rsidP="00E50189">
            <w:pPr>
              <w:tabs>
                <w:tab w:val="left" w:pos="2760"/>
              </w:tabs>
              <w:jc w:val="center"/>
              <w:rPr>
                <w:lang w:val="en-US"/>
              </w:rPr>
            </w:pPr>
            <w:r w:rsidRPr="00E50189">
              <w:rPr>
                <w:b/>
                <w:i/>
                <w:lang w:val="en-US"/>
              </w:rPr>
              <w:t>(Standart Plus)</w:t>
            </w:r>
          </w:p>
        </w:tc>
      </w:tr>
      <w:tr w:rsidR="00E50189" w:rsidTr="00E50189">
        <w:tc>
          <w:tcPr>
            <w:tcW w:w="2392" w:type="dxa"/>
            <w:vMerge/>
          </w:tcPr>
          <w:p w:rsidR="00E50189" w:rsidRPr="00FF45BE" w:rsidRDefault="00E50189" w:rsidP="00FF45B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93" w:type="dxa"/>
            <w:shd w:val="clear" w:color="auto" w:fill="E36C0A" w:themeFill="accent6" w:themeFillShade="BF"/>
          </w:tcPr>
          <w:p w:rsidR="00E50189" w:rsidRPr="00FF45BE" w:rsidRDefault="00BF31C8" w:rsidP="00FF45B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3360</w:t>
            </w:r>
          </w:p>
        </w:tc>
        <w:tc>
          <w:tcPr>
            <w:tcW w:w="2393" w:type="dxa"/>
            <w:shd w:val="clear" w:color="auto" w:fill="E36C0A" w:themeFill="accent6" w:themeFillShade="BF"/>
          </w:tcPr>
          <w:p w:rsidR="00E50189" w:rsidRPr="00FF45BE" w:rsidRDefault="00BF31C8" w:rsidP="00FF45B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  <w:r w:rsidR="00E50189" w:rsidRPr="00FF45BE">
              <w:rPr>
                <w:b/>
                <w:lang w:val="en-US"/>
              </w:rPr>
              <w:t>00</w:t>
            </w:r>
          </w:p>
        </w:tc>
        <w:tc>
          <w:tcPr>
            <w:tcW w:w="2393" w:type="dxa"/>
            <w:shd w:val="clear" w:color="auto" w:fill="E36C0A" w:themeFill="accent6" w:themeFillShade="BF"/>
          </w:tcPr>
          <w:p w:rsidR="00E50189" w:rsidRPr="00FF45BE" w:rsidRDefault="00E50189" w:rsidP="00BF31C8">
            <w:pPr>
              <w:jc w:val="center"/>
              <w:rPr>
                <w:b/>
                <w:lang w:val="en-US"/>
              </w:rPr>
            </w:pPr>
            <w:r w:rsidRPr="00FF45BE">
              <w:rPr>
                <w:b/>
                <w:lang w:val="en-US"/>
              </w:rPr>
              <w:t>2</w:t>
            </w:r>
            <w:r w:rsidR="00BF31C8">
              <w:rPr>
                <w:b/>
                <w:lang w:val="en-US"/>
              </w:rPr>
              <w:t>15</w:t>
            </w:r>
            <w:r w:rsidRPr="00FF45BE">
              <w:rPr>
                <w:b/>
                <w:lang w:val="en-US"/>
              </w:rPr>
              <w:t>0</w:t>
            </w:r>
          </w:p>
        </w:tc>
      </w:tr>
      <w:tr w:rsidR="00E50189" w:rsidRPr="00BF31C8" w:rsidTr="00FF45BE">
        <w:tc>
          <w:tcPr>
            <w:tcW w:w="2392" w:type="dxa"/>
            <w:vMerge w:val="restart"/>
          </w:tcPr>
          <w:p w:rsidR="00E50189" w:rsidRPr="00FF45BE" w:rsidRDefault="00E50189" w:rsidP="00FF45BE">
            <w:pPr>
              <w:jc w:val="center"/>
              <w:rPr>
                <w:b/>
                <w:lang w:val="en-US"/>
              </w:rPr>
            </w:pPr>
            <w:r w:rsidRPr="00FF45BE">
              <w:rPr>
                <w:b/>
                <w:lang w:val="en-US"/>
              </w:rPr>
              <w:t>Single room and double room</w:t>
            </w:r>
          </w:p>
        </w:tc>
        <w:tc>
          <w:tcPr>
            <w:tcW w:w="7179" w:type="dxa"/>
            <w:gridSpan w:val="3"/>
            <w:shd w:val="clear" w:color="auto" w:fill="FABF8F" w:themeFill="accent6" w:themeFillTint="99"/>
          </w:tcPr>
          <w:p w:rsidR="00E50189" w:rsidRPr="00E50189" w:rsidRDefault="00E50189" w:rsidP="00E50189">
            <w:pPr>
              <w:jc w:val="center"/>
              <w:rPr>
                <w:b/>
                <w:i/>
                <w:lang w:val="en-US"/>
              </w:rPr>
            </w:pPr>
            <w:r w:rsidRPr="00E50189">
              <w:rPr>
                <w:b/>
                <w:i/>
                <w:lang w:val="en-US"/>
              </w:rPr>
              <w:t>The Izmailovo Delta Hotel</w:t>
            </w:r>
          </w:p>
          <w:p w:rsidR="00E50189" w:rsidRDefault="00E50189" w:rsidP="00E50189">
            <w:pPr>
              <w:jc w:val="center"/>
              <w:rPr>
                <w:lang w:val="en-US"/>
              </w:rPr>
            </w:pPr>
            <w:r w:rsidRPr="00E50189">
              <w:rPr>
                <w:b/>
                <w:i/>
                <w:lang w:val="en-US"/>
              </w:rPr>
              <w:t>(Business Premium)</w:t>
            </w:r>
          </w:p>
        </w:tc>
      </w:tr>
      <w:tr w:rsidR="00BF31C8" w:rsidTr="000A6AAA">
        <w:tc>
          <w:tcPr>
            <w:tcW w:w="2392" w:type="dxa"/>
            <w:vMerge/>
          </w:tcPr>
          <w:p w:rsidR="00BF31C8" w:rsidRDefault="00BF31C8">
            <w:pPr>
              <w:rPr>
                <w:lang w:val="en-US"/>
              </w:rPr>
            </w:pPr>
          </w:p>
        </w:tc>
        <w:tc>
          <w:tcPr>
            <w:tcW w:w="4786" w:type="dxa"/>
            <w:gridSpan w:val="2"/>
            <w:shd w:val="clear" w:color="auto" w:fill="E36C0A" w:themeFill="accent6" w:themeFillShade="BF"/>
          </w:tcPr>
          <w:p w:rsidR="00BF31C8" w:rsidRPr="00FF45BE" w:rsidRDefault="00BF31C8" w:rsidP="00BF31C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4200</w:t>
            </w:r>
          </w:p>
        </w:tc>
        <w:tc>
          <w:tcPr>
            <w:tcW w:w="2393" w:type="dxa"/>
            <w:shd w:val="clear" w:color="auto" w:fill="E36C0A" w:themeFill="accent6" w:themeFillShade="BF"/>
          </w:tcPr>
          <w:p w:rsidR="00BF31C8" w:rsidRPr="00FF45BE" w:rsidRDefault="00BF31C8" w:rsidP="00FF45BE">
            <w:pPr>
              <w:jc w:val="center"/>
              <w:rPr>
                <w:b/>
                <w:lang w:val="en-US"/>
              </w:rPr>
            </w:pPr>
            <w:r w:rsidRPr="00FF45BE">
              <w:rPr>
                <w:b/>
                <w:lang w:val="en-US"/>
              </w:rPr>
              <w:t>2500</w:t>
            </w:r>
          </w:p>
        </w:tc>
      </w:tr>
    </w:tbl>
    <w:p w:rsidR="00885B03" w:rsidRDefault="00885B03">
      <w:pPr>
        <w:rPr>
          <w:lang w:val="en-US"/>
        </w:rPr>
      </w:pPr>
    </w:p>
    <w:p w:rsidR="00F165BE" w:rsidRDefault="00BF31C8">
      <w:pPr>
        <w:rPr>
          <w:lang w:val="en-US"/>
        </w:rPr>
      </w:pPr>
      <w:r>
        <w:rPr>
          <w:lang w:val="en-US"/>
        </w:rPr>
        <w:t xml:space="preserve">Breakfast – </w:t>
      </w:r>
      <w:r>
        <w:t>6</w:t>
      </w:r>
      <w:r w:rsidR="00F165BE">
        <w:rPr>
          <w:lang w:val="en-US"/>
        </w:rPr>
        <w:t>50 rubles</w:t>
      </w:r>
    </w:p>
    <w:p w:rsidR="00F165BE" w:rsidRDefault="00F165BE">
      <w:pPr>
        <w:rPr>
          <w:lang w:val="en-US"/>
        </w:rPr>
      </w:pPr>
    </w:p>
    <w:p w:rsidR="00F165BE" w:rsidRPr="00BF31C8" w:rsidRDefault="00F165BE">
      <w:pPr>
        <w:rPr>
          <w:lang w:val="en-US"/>
        </w:rPr>
      </w:pPr>
      <w:r>
        <w:rPr>
          <w:lang w:val="en-US"/>
        </w:rPr>
        <w:t xml:space="preserve">Tel: </w:t>
      </w:r>
      <w:r w:rsidRPr="00BF31C8">
        <w:rPr>
          <w:lang w:val="en-US"/>
        </w:rPr>
        <w:t>8(495) 737 7070</w:t>
      </w:r>
    </w:p>
    <w:p w:rsidR="00F165BE" w:rsidRPr="00BF31C8" w:rsidRDefault="00F165BE">
      <w:pPr>
        <w:rPr>
          <w:lang w:val="en-US"/>
        </w:rPr>
      </w:pPr>
      <w:r w:rsidRPr="00BF31C8">
        <w:rPr>
          <w:lang w:val="en-US"/>
        </w:rPr>
        <w:t xml:space="preserve">       8(495) 737 7055</w:t>
      </w:r>
    </w:p>
    <w:p w:rsidR="00F165BE" w:rsidRPr="00BF31C8" w:rsidRDefault="00F165BE">
      <w:pPr>
        <w:rPr>
          <w:lang w:val="en-US"/>
        </w:rPr>
      </w:pPr>
    </w:p>
    <w:p w:rsidR="00F165BE" w:rsidRPr="00BF31C8" w:rsidRDefault="00F165BE">
      <w:pPr>
        <w:rPr>
          <w:lang w:val="en-US"/>
        </w:rPr>
      </w:pPr>
      <w:r w:rsidRPr="00BF31C8">
        <w:rPr>
          <w:lang w:val="en-US"/>
        </w:rPr>
        <w:t xml:space="preserve">Email: </w:t>
      </w:r>
      <w:hyperlink r:id="rId8" w:history="1">
        <w:r w:rsidRPr="00BF31C8">
          <w:rPr>
            <w:rStyle w:val="a6"/>
            <w:lang w:val="en-US"/>
          </w:rPr>
          <w:t>booking@izmailovo.ru</w:t>
        </w:r>
      </w:hyperlink>
    </w:p>
    <w:p w:rsidR="00F165BE" w:rsidRDefault="00F165BE">
      <w:pPr>
        <w:rPr>
          <w:lang w:val="en-US"/>
        </w:rPr>
      </w:pPr>
    </w:p>
    <w:p w:rsidR="00694713" w:rsidRDefault="00694713">
      <w:pPr>
        <w:rPr>
          <w:lang w:val="en-US"/>
        </w:rPr>
      </w:pPr>
      <w:r>
        <w:rPr>
          <w:lang w:val="en-US"/>
        </w:rPr>
        <w:t xml:space="preserve">For </w:t>
      </w:r>
      <w:r w:rsidR="00B442D9">
        <w:rPr>
          <w:lang w:val="en-US"/>
        </w:rPr>
        <w:t>reservation</w:t>
      </w:r>
      <w:r>
        <w:rPr>
          <w:lang w:val="en-US"/>
        </w:rPr>
        <w:t xml:space="preserve"> you need to apply for the </w:t>
      </w:r>
      <w:r w:rsidR="00240A5C">
        <w:rPr>
          <w:lang w:val="en-US"/>
        </w:rPr>
        <w:t xml:space="preserve">reservation </w:t>
      </w:r>
      <w:r>
        <w:rPr>
          <w:lang w:val="en-US"/>
        </w:rPr>
        <w:t xml:space="preserve">department. </w:t>
      </w:r>
      <w:r w:rsidR="00B442D9">
        <w:rPr>
          <w:lang w:val="en-US"/>
        </w:rPr>
        <w:t>I</w:t>
      </w:r>
      <w:r>
        <w:rPr>
          <w:lang w:val="en-US"/>
        </w:rPr>
        <w:t>t is</w:t>
      </w:r>
      <w:r w:rsidR="00B442D9">
        <w:rPr>
          <w:lang w:val="en-US"/>
        </w:rPr>
        <w:t xml:space="preserve"> also necessary to mention the </w:t>
      </w:r>
      <w:r>
        <w:rPr>
          <w:lang w:val="en-US"/>
        </w:rPr>
        <w:t>code word “ARCHIMEDES”,</w:t>
      </w:r>
      <w:r w:rsidR="0035696A">
        <w:rPr>
          <w:lang w:val="en-US"/>
        </w:rPr>
        <w:t xml:space="preserve"> your</w:t>
      </w:r>
      <w:r>
        <w:rPr>
          <w:lang w:val="en-US"/>
        </w:rPr>
        <w:t xml:space="preserve"> name, </w:t>
      </w:r>
      <w:r w:rsidR="0035696A">
        <w:rPr>
          <w:lang w:val="en-US"/>
        </w:rPr>
        <w:t xml:space="preserve">the </w:t>
      </w:r>
      <w:r>
        <w:rPr>
          <w:lang w:val="en-US"/>
        </w:rPr>
        <w:t xml:space="preserve">date of </w:t>
      </w:r>
      <w:r w:rsidR="00B442D9">
        <w:rPr>
          <w:lang w:val="en-US"/>
        </w:rPr>
        <w:t xml:space="preserve">arrival </w:t>
      </w:r>
      <w:r>
        <w:rPr>
          <w:lang w:val="en-US"/>
        </w:rPr>
        <w:t xml:space="preserve">and </w:t>
      </w:r>
      <w:r w:rsidR="0035696A">
        <w:rPr>
          <w:lang w:val="en-US"/>
        </w:rPr>
        <w:t>departure, the</w:t>
      </w:r>
      <w:r w:rsidR="00B442D9">
        <w:rPr>
          <w:lang w:val="en-US"/>
        </w:rPr>
        <w:t xml:space="preserve"> category of the ro</w:t>
      </w:r>
      <w:r w:rsidR="00240A5C">
        <w:rPr>
          <w:lang w:val="en-US"/>
        </w:rPr>
        <w:t>om, which you would like to accommodate</w:t>
      </w:r>
      <w:r w:rsidR="00B442D9">
        <w:rPr>
          <w:lang w:val="en-US"/>
        </w:rPr>
        <w:t xml:space="preserve">. </w:t>
      </w:r>
    </w:p>
    <w:p w:rsidR="00B442D9" w:rsidRDefault="00B442D9">
      <w:pPr>
        <w:rPr>
          <w:lang w:val="en-US"/>
        </w:rPr>
      </w:pPr>
    </w:p>
    <w:p w:rsidR="00B5498C" w:rsidRPr="00240A5C" w:rsidRDefault="00B5498C" w:rsidP="00240A5C">
      <w:pPr>
        <w:rPr>
          <w:lang w:val="en-US"/>
        </w:rPr>
      </w:pPr>
      <w:r w:rsidRPr="00240A5C">
        <w:rPr>
          <w:lang w:val="en-US"/>
        </w:rPr>
        <w:t>The check-in hour is 14:00 Moscow time.</w:t>
      </w:r>
      <w:r>
        <w:rPr>
          <w:lang w:val="en-US"/>
        </w:rPr>
        <w:t xml:space="preserve"> Early check-in</w:t>
      </w:r>
      <w:r w:rsidR="00B442D9">
        <w:rPr>
          <w:lang w:val="en-US"/>
        </w:rPr>
        <w:t xml:space="preserve"> is possible if </w:t>
      </w:r>
      <w:r w:rsidR="009461AF">
        <w:rPr>
          <w:lang w:val="en-US"/>
        </w:rPr>
        <w:t xml:space="preserve">the rooms are free and clean. </w:t>
      </w:r>
      <w:r w:rsidRPr="00240A5C">
        <w:rPr>
          <w:lang w:val="en-US"/>
        </w:rPr>
        <w:t>The registration of the accommodation in the Hotel is performed upon presentation of the passport</w:t>
      </w:r>
      <w:r w:rsidR="00240A5C">
        <w:rPr>
          <w:lang w:val="en-US"/>
        </w:rPr>
        <w:t>.</w:t>
      </w:r>
    </w:p>
    <w:p w:rsidR="009461AF" w:rsidRDefault="009461AF">
      <w:pPr>
        <w:rPr>
          <w:lang w:val="en-US"/>
        </w:rPr>
      </w:pPr>
    </w:p>
    <w:p w:rsidR="009461AF" w:rsidRDefault="0035696A">
      <w:pPr>
        <w:rPr>
          <w:lang w:val="en-US"/>
        </w:rPr>
      </w:pPr>
      <w:r w:rsidRPr="00240A5C">
        <w:rPr>
          <w:lang w:val="en-US"/>
        </w:rPr>
        <w:t>For payment you can use a credit card</w:t>
      </w:r>
      <w:r w:rsidR="00240A5C" w:rsidRPr="00240A5C">
        <w:rPr>
          <w:lang w:val="en-US"/>
        </w:rPr>
        <w:t>,</w:t>
      </w:r>
      <w:r w:rsidR="00240A5C">
        <w:rPr>
          <w:lang w:val="en-US"/>
        </w:rPr>
        <w:t xml:space="preserve"> or</w:t>
      </w:r>
      <w:r>
        <w:rPr>
          <w:lang w:val="en-US"/>
        </w:rPr>
        <w:t xml:space="preserve"> pay your order on arrival</w:t>
      </w:r>
      <w:r w:rsidR="009461AF">
        <w:rPr>
          <w:lang w:val="en-US"/>
        </w:rPr>
        <w:t>.</w:t>
      </w:r>
    </w:p>
    <w:p w:rsidR="0035696A" w:rsidRDefault="0035696A">
      <w:pPr>
        <w:rPr>
          <w:lang w:val="en-US"/>
        </w:rPr>
      </w:pPr>
    </w:p>
    <w:p w:rsidR="00240A5C" w:rsidRDefault="009461AF">
      <w:pPr>
        <w:rPr>
          <w:lang w:val="en-US"/>
        </w:rPr>
      </w:pPr>
      <w:r>
        <w:rPr>
          <w:lang w:val="en-US"/>
        </w:rPr>
        <w:t>Over 3 days to arrival we conceal the r</w:t>
      </w:r>
      <w:r w:rsidR="00240A5C">
        <w:rPr>
          <w:lang w:val="en-US"/>
        </w:rPr>
        <w:t>ooms without reservation;</w:t>
      </w:r>
      <w:r>
        <w:rPr>
          <w:lang w:val="en-US"/>
        </w:rPr>
        <w:t xml:space="preserve"> the</w:t>
      </w:r>
      <w:r w:rsidR="00240A5C">
        <w:rPr>
          <w:lang w:val="en-US"/>
        </w:rPr>
        <w:t xml:space="preserve"> accommodation depends on the availability of the rooms.</w:t>
      </w:r>
    </w:p>
    <w:p w:rsidR="009461AF" w:rsidRDefault="009461AF">
      <w:pPr>
        <w:rPr>
          <w:lang w:val="en-US"/>
        </w:rPr>
      </w:pPr>
      <w:r>
        <w:rPr>
          <w:lang w:val="en-US"/>
        </w:rPr>
        <w:t xml:space="preserve"> </w:t>
      </w:r>
    </w:p>
    <w:p w:rsidR="00E17897" w:rsidRPr="00240A5C" w:rsidRDefault="00B5498C" w:rsidP="00240A5C">
      <w:pPr>
        <w:rPr>
          <w:lang w:val="en-US"/>
        </w:rPr>
      </w:pPr>
      <w:r w:rsidRPr="00240A5C">
        <w:rPr>
          <w:lang w:val="en-US"/>
        </w:rPr>
        <w:t>If the guest refuses the accommodation within 7 days from the moment of his or her check-out to the room</w:t>
      </w:r>
      <w:r w:rsidR="00E17897" w:rsidRPr="00240A5C">
        <w:rPr>
          <w:lang w:val="en-US"/>
        </w:rPr>
        <w:t>, the Hotel returns the advance payment to the guest, with the deduction of the late charge (as a rule, the cost of the first day of accommodation) and in accordance with the Hotel’s reservation terms. </w:t>
      </w:r>
    </w:p>
    <w:p w:rsidR="00B442D9" w:rsidRPr="007B6EB9" w:rsidRDefault="009461AF">
      <w:pPr>
        <w:rPr>
          <w:lang w:val="en-US"/>
        </w:rPr>
      </w:pPr>
      <w:r>
        <w:rPr>
          <w:lang w:val="en-US"/>
        </w:rPr>
        <w:t>To</w:t>
      </w:r>
      <w:r w:rsidR="0035696A">
        <w:rPr>
          <w:lang w:val="en-US"/>
        </w:rPr>
        <w:t xml:space="preserve"> get visa help you might</w:t>
      </w:r>
      <w:r>
        <w:rPr>
          <w:lang w:val="en-US"/>
        </w:rPr>
        <w:t xml:space="preserve"> also </w:t>
      </w:r>
      <w:r w:rsidR="0035696A">
        <w:rPr>
          <w:lang w:val="en-US"/>
        </w:rPr>
        <w:t>apply to</w:t>
      </w:r>
      <w:r>
        <w:rPr>
          <w:lang w:val="en-US"/>
        </w:rPr>
        <w:t xml:space="preserve"> the reservation department. The price of the service is 1000 rubles. If you need to conceal the reservation, the sum of 1000 rubles as the day </w:t>
      </w:r>
      <w:r w:rsidR="00240A5C">
        <w:rPr>
          <w:lang w:val="en-US"/>
        </w:rPr>
        <w:t>fee is</w:t>
      </w:r>
      <w:r>
        <w:rPr>
          <w:lang w:val="en-US"/>
        </w:rPr>
        <w:t xml:space="preserve"> deducted. </w:t>
      </w:r>
    </w:p>
    <w:sectPr w:rsidR="00B442D9" w:rsidRPr="007B6EB9" w:rsidSect="00944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B03"/>
    <w:rsid w:val="00044AD2"/>
    <w:rsid w:val="00104F94"/>
    <w:rsid w:val="00240A5C"/>
    <w:rsid w:val="0035696A"/>
    <w:rsid w:val="004E7D6D"/>
    <w:rsid w:val="005B793B"/>
    <w:rsid w:val="00694713"/>
    <w:rsid w:val="007A2515"/>
    <w:rsid w:val="007B6EB9"/>
    <w:rsid w:val="007F1A48"/>
    <w:rsid w:val="00885B03"/>
    <w:rsid w:val="0094483F"/>
    <w:rsid w:val="009461AF"/>
    <w:rsid w:val="00A74808"/>
    <w:rsid w:val="00B442D9"/>
    <w:rsid w:val="00B5498C"/>
    <w:rsid w:val="00BD45EC"/>
    <w:rsid w:val="00BF31C8"/>
    <w:rsid w:val="00E17897"/>
    <w:rsid w:val="00E50189"/>
    <w:rsid w:val="00E66D96"/>
    <w:rsid w:val="00F165BE"/>
    <w:rsid w:val="00FF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B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B0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8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165B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54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5231">
          <w:marLeft w:val="0"/>
          <w:marRight w:val="0"/>
          <w:marTop w:val="0"/>
          <w:marBottom w:val="135"/>
          <w:divBdr>
            <w:top w:val="single" w:sz="6" w:space="8" w:color="BECFE6"/>
            <w:left w:val="single" w:sz="6" w:space="8" w:color="BECFE6"/>
            <w:bottom w:val="single" w:sz="6" w:space="8" w:color="BECFE6"/>
            <w:right w:val="single" w:sz="6" w:space="8" w:color="BECFE6"/>
          </w:divBdr>
          <w:divsChild>
            <w:div w:id="1209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0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5472">
          <w:marLeft w:val="0"/>
          <w:marRight w:val="0"/>
          <w:marTop w:val="0"/>
          <w:marBottom w:val="135"/>
          <w:divBdr>
            <w:top w:val="single" w:sz="6" w:space="8" w:color="BECFE6"/>
            <w:left w:val="single" w:sz="6" w:space="8" w:color="BECFE6"/>
            <w:bottom w:val="single" w:sz="6" w:space="8" w:color="BECFE6"/>
            <w:right w:val="single" w:sz="6" w:space="8" w:color="BECFE6"/>
          </w:divBdr>
          <w:divsChild>
            <w:div w:id="10227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6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5393">
          <w:marLeft w:val="0"/>
          <w:marRight w:val="0"/>
          <w:marTop w:val="0"/>
          <w:marBottom w:val="135"/>
          <w:divBdr>
            <w:top w:val="single" w:sz="6" w:space="8" w:color="BECFE6"/>
            <w:left w:val="single" w:sz="6" w:space="8" w:color="BECFE6"/>
            <w:bottom w:val="single" w:sz="6" w:space="8" w:color="BECFE6"/>
            <w:right w:val="single" w:sz="6" w:space="8" w:color="BECFE6"/>
          </w:divBdr>
          <w:divsChild>
            <w:div w:id="962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1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8145">
          <w:marLeft w:val="0"/>
          <w:marRight w:val="0"/>
          <w:marTop w:val="0"/>
          <w:marBottom w:val="135"/>
          <w:divBdr>
            <w:top w:val="single" w:sz="6" w:space="8" w:color="BECFE6"/>
            <w:left w:val="single" w:sz="6" w:space="8" w:color="BECFE6"/>
            <w:bottom w:val="single" w:sz="6" w:space="8" w:color="BECFE6"/>
            <w:right w:val="single" w:sz="6" w:space="8" w:color="BECFE6"/>
          </w:divBdr>
          <w:divsChild>
            <w:div w:id="13923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@izmailovo.ru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starwooderesponsetool.com/sites/default/files/assets/sheraton/spacer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О.В.</dc:creator>
  <cp:lastModifiedBy>Сергеева О.В.</cp:lastModifiedBy>
  <cp:revision>7</cp:revision>
  <dcterms:created xsi:type="dcterms:W3CDTF">2015-01-28T10:26:00Z</dcterms:created>
  <dcterms:modified xsi:type="dcterms:W3CDTF">2016-12-14T08:38:00Z</dcterms:modified>
</cp:coreProperties>
</file>